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571" w:rsidRPr="009D219B" w:rsidRDefault="00B71571" w:rsidP="00CA55A8">
      <w:pPr>
        <w:autoSpaceDE w:val="0"/>
        <w:autoSpaceDN w:val="0"/>
        <w:adjustRightInd w:val="0"/>
        <w:spacing w:before="120" w:after="0" w:line="240" w:lineRule="auto"/>
        <w:jc w:val="both"/>
        <w:rPr>
          <w:rFonts w:cs="Arial"/>
          <w:b/>
          <w:sz w:val="28"/>
          <w:szCs w:val="28"/>
        </w:rPr>
      </w:pPr>
      <w:r w:rsidRPr="009D219B">
        <w:rPr>
          <w:rFonts w:cs="Arial"/>
          <w:b/>
          <w:sz w:val="28"/>
          <w:szCs w:val="28"/>
        </w:rPr>
        <w:t xml:space="preserve">Breu descripció </w:t>
      </w:r>
      <w:r w:rsidR="009D219B">
        <w:rPr>
          <w:rFonts w:cs="Arial"/>
          <w:b/>
          <w:sz w:val="28"/>
          <w:szCs w:val="28"/>
        </w:rPr>
        <w:t xml:space="preserve">de la </w:t>
      </w:r>
      <w:r w:rsidRPr="009D219B">
        <w:rPr>
          <w:rFonts w:cs="Arial"/>
          <w:b/>
          <w:sz w:val="28"/>
          <w:szCs w:val="28"/>
        </w:rPr>
        <w:t xml:space="preserve">importància </w:t>
      </w:r>
      <w:r w:rsidR="00FB6CF8">
        <w:rPr>
          <w:rFonts w:cs="Arial"/>
          <w:b/>
          <w:sz w:val="28"/>
          <w:szCs w:val="28"/>
        </w:rPr>
        <w:t xml:space="preserve">patrimonial </w:t>
      </w:r>
      <w:r w:rsidR="009D219B">
        <w:rPr>
          <w:rFonts w:cs="Arial"/>
          <w:b/>
          <w:sz w:val="28"/>
          <w:szCs w:val="28"/>
        </w:rPr>
        <w:t xml:space="preserve">del </w:t>
      </w:r>
      <w:r w:rsidRPr="009D219B">
        <w:rPr>
          <w:rFonts w:cs="Arial"/>
          <w:b/>
          <w:sz w:val="28"/>
          <w:szCs w:val="28"/>
        </w:rPr>
        <w:t>Palau</w:t>
      </w:r>
      <w:r w:rsidR="009D219B">
        <w:rPr>
          <w:rFonts w:cs="Arial"/>
          <w:b/>
          <w:sz w:val="28"/>
          <w:szCs w:val="28"/>
        </w:rPr>
        <w:t xml:space="preserve"> Comtal</w:t>
      </w:r>
      <w:r w:rsidRPr="009D219B">
        <w:rPr>
          <w:rFonts w:cs="Arial"/>
          <w:b/>
          <w:sz w:val="28"/>
          <w:szCs w:val="28"/>
        </w:rPr>
        <w:t xml:space="preserve"> i </w:t>
      </w:r>
      <w:r w:rsidR="009D219B">
        <w:rPr>
          <w:rFonts w:cs="Arial"/>
          <w:b/>
          <w:sz w:val="28"/>
          <w:szCs w:val="28"/>
        </w:rPr>
        <w:t>l'</w:t>
      </w:r>
      <w:r w:rsidRPr="009D219B">
        <w:rPr>
          <w:rFonts w:cs="Arial"/>
          <w:b/>
          <w:sz w:val="28"/>
          <w:szCs w:val="28"/>
        </w:rPr>
        <w:t>Enginy</w:t>
      </w:r>
    </w:p>
    <w:p w:rsidR="00CA55A8" w:rsidRPr="00E1292D" w:rsidRDefault="00CA55A8" w:rsidP="00CA55A8">
      <w:pPr>
        <w:autoSpaceDE w:val="0"/>
        <w:adjustRightInd w:val="0"/>
        <w:spacing w:before="120" w:after="0" w:line="240" w:lineRule="auto"/>
        <w:jc w:val="both"/>
        <w:rPr>
          <w:rFonts w:cs="TimesNewRomanPSMT"/>
        </w:rPr>
      </w:pPr>
      <w:r w:rsidRPr="00E1292D">
        <w:rPr>
          <w:rFonts w:cs="TimesNewRomanPSMT"/>
        </w:rPr>
        <w:t xml:space="preserve">Ambdós </w:t>
      </w:r>
      <w:r w:rsidR="00954000">
        <w:rPr>
          <w:rFonts w:cs="TimesNewRomanPSMT"/>
        </w:rPr>
        <w:t>edificis</w:t>
      </w:r>
      <w:bookmarkStart w:id="0" w:name="_GoBack"/>
      <w:bookmarkEnd w:id="0"/>
      <w:r w:rsidRPr="00E1292D">
        <w:rPr>
          <w:rFonts w:cs="TimesNewRomanPSMT"/>
        </w:rPr>
        <w:t xml:space="preserve"> tenen un comú denominador: formen part del patrimoni arquitectònic dels Centelles-</w:t>
      </w:r>
      <w:proofErr w:type="spellStart"/>
      <w:r w:rsidRPr="00E1292D">
        <w:rPr>
          <w:rFonts w:cs="TimesNewRomanPSMT"/>
        </w:rPr>
        <w:t>Riusech</w:t>
      </w:r>
      <w:proofErr w:type="spellEnd"/>
      <w:r w:rsidRPr="00E1292D">
        <w:rPr>
          <w:rFonts w:cs="TimesNewRomanPSMT"/>
        </w:rPr>
        <w:t xml:space="preserve">. L'Enginy fou la peça fonamental del </w:t>
      </w:r>
      <w:proofErr w:type="spellStart"/>
      <w:r w:rsidRPr="00E1292D">
        <w:rPr>
          <w:rFonts w:cs="TimesNewRomanPSMT"/>
        </w:rPr>
        <w:t>rendibilíssim</w:t>
      </w:r>
      <w:proofErr w:type="spellEnd"/>
      <w:r w:rsidRPr="00E1292D">
        <w:rPr>
          <w:rFonts w:cs="TimesNewRomanPSMT"/>
        </w:rPr>
        <w:t xml:space="preserve"> negoci de la producció de sucre a partir de la canyamel, base de la seua riquesa. I el Palau Comtal fou, justament, la màxima expressió de la mateixa. L'aparador que evidenciava el poder i el refinament de la bel·licosa família nobiliària.</w:t>
      </w:r>
    </w:p>
    <w:p w:rsidR="00B71571" w:rsidRDefault="00B71571" w:rsidP="00CA55A8">
      <w:pPr>
        <w:autoSpaceDE w:val="0"/>
        <w:autoSpaceDN w:val="0"/>
        <w:adjustRightInd w:val="0"/>
        <w:spacing w:before="120" w:after="0" w:line="240" w:lineRule="auto"/>
        <w:jc w:val="both"/>
        <w:rPr>
          <w:rFonts w:cs="Arial"/>
        </w:rPr>
      </w:pPr>
    </w:p>
    <w:p w:rsidR="009D219B" w:rsidRDefault="009D219B" w:rsidP="00CA55A8">
      <w:pPr>
        <w:autoSpaceDE w:val="0"/>
        <w:autoSpaceDN w:val="0"/>
        <w:adjustRightInd w:val="0"/>
        <w:spacing w:before="120" w:after="0" w:line="240" w:lineRule="auto"/>
        <w:jc w:val="both"/>
        <w:rPr>
          <w:rFonts w:cs="Arial"/>
        </w:rPr>
      </w:pPr>
      <w:r w:rsidRPr="00FD7058">
        <w:rPr>
          <w:b/>
          <w:noProof/>
          <w:sz w:val="28"/>
          <w:szCs w:val="28"/>
          <w:lang w:eastAsia="ca-ES"/>
        </w:rPr>
        <w:drawing>
          <wp:inline distT="0" distB="0" distL="0" distR="0" wp14:anchorId="0CC15A5C" wp14:editId="70B42B00">
            <wp:extent cx="5400040" cy="1477585"/>
            <wp:effectExtent l="19050" t="19050" r="10160" b="2794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46.jpg"/>
                    <pic:cNvPicPr/>
                  </pic:nvPicPr>
                  <pic:blipFill rotWithShape="1">
                    <a:blip r:embed="rId7" cstate="print">
                      <a:extLst>
                        <a:ext uri="{28A0092B-C50C-407E-A947-70E740481C1C}">
                          <a14:useLocalDpi xmlns:a14="http://schemas.microsoft.com/office/drawing/2010/main" val="0"/>
                        </a:ext>
                      </a:extLst>
                    </a:blip>
                    <a:srcRect t="4988" b="14384"/>
                    <a:stretch/>
                  </pic:blipFill>
                  <pic:spPr bwMode="auto">
                    <a:xfrm>
                      <a:off x="0" y="0"/>
                      <a:ext cx="5400040" cy="1477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D219B" w:rsidRPr="00CA55A8" w:rsidRDefault="009D219B" w:rsidP="00CA55A8">
      <w:pPr>
        <w:autoSpaceDE w:val="0"/>
        <w:autoSpaceDN w:val="0"/>
        <w:adjustRightInd w:val="0"/>
        <w:spacing w:before="120" w:after="0" w:line="240" w:lineRule="auto"/>
        <w:jc w:val="both"/>
        <w:rPr>
          <w:rFonts w:cs="Arial"/>
        </w:rPr>
      </w:pPr>
    </w:p>
    <w:p w:rsidR="00B71571" w:rsidRPr="009D219B" w:rsidRDefault="009D219B" w:rsidP="00CA55A8">
      <w:pPr>
        <w:autoSpaceDE w:val="0"/>
        <w:autoSpaceDN w:val="0"/>
        <w:adjustRightInd w:val="0"/>
        <w:spacing w:before="120" w:after="0" w:line="240" w:lineRule="auto"/>
        <w:jc w:val="both"/>
        <w:rPr>
          <w:rFonts w:cs="Arial"/>
          <w:b/>
        </w:rPr>
      </w:pPr>
      <w:r w:rsidRPr="009D219B">
        <w:rPr>
          <w:rFonts w:cs="Arial"/>
          <w:b/>
        </w:rPr>
        <w:t>Palau Comtal</w:t>
      </w:r>
    </w:p>
    <w:p w:rsidR="009D219B" w:rsidRDefault="009D219B" w:rsidP="00CA55A8">
      <w:pPr>
        <w:spacing w:before="120" w:after="0" w:line="240" w:lineRule="auto"/>
        <w:jc w:val="both"/>
      </w:pPr>
      <w:r w:rsidRPr="00FD7058">
        <w:t>El Palau</w:t>
      </w:r>
      <w:r>
        <w:t xml:space="preserve"> Comtal dels Centelles</w:t>
      </w:r>
      <w:r w:rsidRPr="00FD7058">
        <w:t xml:space="preserve"> </w:t>
      </w:r>
      <w:r>
        <w:t xml:space="preserve">d'Oliva fou </w:t>
      </w:r>
      <w:r w:rsidRPr="00FD7058">
        <w:t>declarat Monument Arquitectònic-Artístic, en data 23 de juliol de 1920, mitjançant Reial Ordre,</w:t>
      </w:r>
      <w:r>
        <w:t xml:space="preserve"> </w:t>
      </w:r>
      <w:r w:rsidRPr="00FD7058">
        <w:t xml:space="preserve">de conformitat amb la </w:t>
      </w:r>
      <w:r>
        <w:t>L</w:t>
      </w:r>
      <w:r w:rsidRPr="00FD7058">
        <w:t>lei de 4 de març de 1915 i el Reial Decret de 25 d'agost de 1917 (</w:t>
      </w:r>
      <w:proofErr w:type="spellStart"/>
      <w:r w:rsidRPr="006E538F">
        <w:rPr>
          <w:i/>
        </w:rPr>
        <w:t>Gaceta</w:t>
      </w:r>
      <w:proofErr w:type="spellEnd"/>
      <w:r w:rsidRPr="006E538F">
        <w:rPr>
          <w:i/>
        </w:rPr>
        <w:t xml:space="preserve"> de Madrid</w:t>
      </w:r>
      <w:r w:rsidRPr="00FD7058">
        <w:t>, 2-8-1920).</w:t>
      </w:r>
      <w:r w:rsidRPr="00FD7058">
        <w:rPr>
          <w:rStyle w:val="Refdenotaalpie"/>
        </w:rPr>
        <w:footnoteReference w:id="1"/>
      </w:r>
    </w:p>
    <w:p w:rsidR="00D012E5" w:rsidRPr="00FD7058" w:rsidRDefault="00D012E5" w:rsidP="00CA55A8">
      <w:pPr>
        <w:autoSpaceDE w:val="0"/>
        <w:autoSpaceDN w:val="0"/>
        <w:adjustRightInd w:val="0"/>
        <w:spacing w:before="120" w:after="0" w:line="240" w:lineRule="auto"/>
        <w:jc w:val="both"/>
        <w:rPr>
          <w:rFonts w:cs="Arial"/>
        </w:rPr>
      </w:pPr>
      <w:r>
        <w:rPr>
          <w:rFonts w:cs="Arial"/>
        </w:rPr>
        <w:t>L'ocult Palau Comtal dels Centelles d'Oliva, en el seu moment d'esplendor (</w:t>
      </w:r>
      <w:proofErr w:type="spellStart"/>
      <w:r>
        <w:rPr>
          <w:rFonts w:cs="Arial"/>
        </w:rPr>
        <w:t>ss</w:t>
      </w:r>
      <w:proofErr w:type="spellEnd"/>
      <w:r>
        <w:rPr>
          <w:rFonts w:cs="Arial"/>
        </w:rPr>
        <w:t xml:space="preserve">. XV-XVI), fou un edifici </w:t>
      </w:r>
      <w:r w:rsidRPr="00FD7058">
        <w:rPr>
          <w:rFonts w:cs="Arial"/>
        </w:rPr>
        <w:t>gòtic</w:t>
      </w:r>
      <w:r>
        <w:rPr>
          <w:rFonts w:cs="Arial"/>
        </w:rPr>
        <w:t xml:space="preserve"> amb elements del primer </w:t>
      </w:r>
      <w:r w:rsidRPr="00FD7058">
        <w:rPr>
          <w:rFonts w:cs="Arial"/>
        </w:rPr>
        <w:t>renaixe</w:t>
      </w:r>
      <w:r>
        <w:rPr>
          <w:rFonts w:cs="Arial"/>
        </w:rPr>
        <w:t>ment italià.</w:t>
      </w:r>
      <w:r w:rsidRPr="00FD7058">
        <w:rPr>
          <w:rFonts w:cs="Arial"/>
        </w:rPr>
        <w:t xml:space="preserve"> En el seu estat original, repetia l’esquema dels palaus valencians de l’època: planta quadrada</w:t>
      </w:r>
      <w:r>
        <w:rPr>
          <w:rFonts w:cs="Arial"/>
        </w:rPr>
        <w:t xml:space="preserve"> (</w:t>
      </w:r>
      <w:r w:rsidRPr="00FD7058">
        <w:rPr>
          <w:rFonts w:cs="Arial"/>
        </w:rPr>
        <w:t>lleugerament irregular</w:t>
      </w:r>
      <w:r>
        <w:rPr>
          <w:rFonts w:cs="Arial"/>
        </w:rPr>
        <w:t>)</w:t>
      </w:r>
      <w:r w:rsidRPr="00FD7058">
        <w:rPr>
          <w:rFonts w:cs="Arial"/>
        </w:rPr>
        <w:t>, amb torres circulars als cantons, i rectangulars als llenços occidental i oriental.</w:t>
      </w:r>
    </w:p>
    <w:p w:rsidR="00D012E5" w:rsidRPr="00FD7058" w:rsidRDefault="00D012E5" w:rsidP="00CA55A8">
      <w:pPr>
        <w:spacing w:before="120" w:after="0" w:line="240" w:lineRule="auto"/>
        <w:jc w:val="both"/>
        <w:rPr>
          <w:rFonts w:cs="Arial"/>
        </w:rPr>
      </w:pPr>
      <w:r w:rsidRPr="00FD7058">
        <w:rPr>
          <w:rFonts w:cs="Arial"/>
        </w:rPr>
        <w:t xml:space="preserve">En 1871 l’edifici fou venut, iniciant-s’hi el procés de deteriorament. En 1882 </w:t>
      </w:r>
      <w:r>
        <w:rPr>
          <w:rFonts w:cs="Arial"/>
        </w:rPr>
        <w:t>e</w:t>
      </w:r>
      <w:r w:rsidRPr="00FD7058">
        <w:rPr>
          <w:rFonts w:cs="Arial"/>
        </w:rPr>
        <w:t>s</w:t>
      </w:r>
      <w:r>
        <w:rPr>
          <w:rFonts w:cs="Arial"/>
        </w:rPr>
        <w:t xml:space="preserve"> va </w:t>
      </w:r>
      <w:r w:rsidRPr="00FD7058">
        <w:rPr>
          <w:rFonts w:cs="Arial"/>
        </w:rPr>
        <w:t>obr</w:t>
      </w:r>
      <w:r>
        <w:rPr>
          <w:rFonts w:cs="Arial"/>
        </w:rPr>
        <w:t>ir</w:t>
      </w:r>
      <w:r w:rsidRPr="00FD7058">
        <w:rPr>
          <w:rFonts w:cs="Arial"/>
        </w:rPr>
        <w:t xml:space="preserve"> el carrer Palau i el recinte començà a ser habitat. En 1917 l’arquitecte </w:t>
      </w:r>
      <w:proofErr w:type="spellStart"/>
      <w:r w:rsidRPr="00FD7058">
        <w:rPr>
          <w:rFonts w:cs="Arial"/>
        </w:rPr>
        <w:t>danés</w:t>
      </w:r>
      <w:proofErr w:type="spellEnd"/>
      <w:r w:rsidRPr="00FD7058">
        <w:rPr>
          <w:rFonts w:cs="Arial"/>
        </w:rPr>
        <w:t xml:space="preserve"> E. Fisher va comprar bona part de la construcció amb la intenció de traslladar-la a Copenhaguen. Inicià els treballs, però li ordenaren parar perquè en juliol de 1920 una </w:t>
      </w:r>
      <w:r w:rsidRPr="00FD7058">
        <w:t>Reial Ordre declarava el Palau Monument Arquitectònic-Artístic</w:t>
      </w:r>
      <w:r w:rsidRPr="00FD7058">
        <w:rPr>
          <w:rFonts w:cs="Arial"/>
        </w:rPr>
        <w:t>. Anys després patiria tempestes i els efectes de la guerra civil, fins que en 1950 fou declarat edifici en estat ruïnós i enderrocat parcialment.</w:t>
      </w:r>
    </w:p>
    <w:p w:rsidR="00D012E5" w:rsidRPr="00FD7058" w:rsidRDefault="00D012E5" w:rsidP="00CA55A8">
      <w:pPr>
        <w:spacing w:before="120" w:after="0" w:line="240" w:lineRule="auto"/>
        <w:jc w:val="both"/>
        <w:rPr>
          <w:rFonts w:cs="Arial"/>
        </w:rPr>
      </w:pPr>
      <w:r w:rsidRPr="00FD7058">
        <w:rPr>
          <w:rFonts w:cs="Arial"/>
        </w:rPr>
        <w:t xml:space="preserve">En l’actualitat, la majoria de les seues restes s’hi troben ocultes a l’interior de les cases dels carrers de la Comare, les Torres, Aula i Duc d'Osuna. Altres elements van ser espoliats o portats a Dinamarca, i alguns adquirits per la </w:t>
      </w:r>
      <w:proofErr w:type="spellStart"/>
      <w:r w:rsidRPr="00FD7058">
        <w:rPr>
          <w:rFonts w:cs="Arial"/>
          <w:i/>
        </w:rPr>
        <w:t>Hispanic</w:t>
      </w:r>
      <w:proofErr w:type="spellEnd"/>
      <w:r w:rsidRPr="00FD7058">
        <w:rPr>
          <w:rFonts w:cs="Arial"/>
          <w:i/>
        </w:rPr>
        <w:t xml:space="preserve"> </w:t>
      </w:r>
      <w:proofErr w:type="spellStart"/>
      <w:r w:rsidRPr="00FD7058">
        <w:rPr>
          <w:rFonts w:cs="Arial"/>
          <w:i/>
        </w:rPr>
        <w:t>Society</w:t>
      </w:r>
      <w:proofErr w:type="spellEnd"/>
      <w:r w:rsidRPr="00FD7058">
        <w:rPr>
          <w:rFonts w:cs="Arial"/>
          <w:i/>
        </w:rPr>
        <w:t xml:space="preserve"> of </w:t>
      </w:r>
      <w:proofErr w:type="spellStart"/>
      <w:r w:rsidRPr="00FD7058">
        <w:rPr>
          <w:rFonts w:cs="Arial"/>
          <w:i/>
        </w:rPr>
        <w:t>America</w:t>
      </w:r>
      <w:proofErr w:type="spellEnd"/>
      <w:r w:rsidRPr="00FD7058">
        <w:rPr>
          <w:rFonts w:cs="Arial"/>
        </w:rPr>
        <w:t>.</w:t>
      </w:r>
    </w:p>
    <w:p w:rsidR="00D012E5" w:rsidRPr="00FD7058" w:rsidRDefault="00D012E5" w:rsidP="00CA55A8">
      <w:pPr>
        <w:spacing w:before="120" w:after="0" w:line="240" w:lineRule="auto"/>
        <w:jc w:val="both"/>
        <w:rPr>
          <w:rFonts w:cs="Arial"/>
        </w:rPr>
      </w:pPr>
      <w:r w:rsidRPr="00FD7058">
        <w:rPr>
          <w:rFonts w:cs="Arial"/>
        </w:rPr>
        <w:t>Malgrat tot, encara s’hi conserven quasi la meitat de les seues muralles, quatre de les set torres, i nombrosos vestigis de les estances de la planta baixa i primera (especialment a l’ala occidental).</w:t>
      </w:r>
    </w:p>
    <w:p w:rsidR="00D012E5" w:rsidRPr="00FD7058" w:rsidRDefault="00D012E5" w:rsidP="00CA55A8">
      <w:pPr>
        <w:spacing w:before="120" w:after="0" w:line="240" w:lineRule="auto"/>
        <w:jc w:val="both"/>
        <w:rPr>
          <w:rFonts w:cs="Arial"/>
        </w:rPr>
      </w:pPr>
      <w:r w:rsidRPr="00FD7058">
        <w:rPr>
          <w:rFonts w:cs="Arial"/>
        </w:rPr>
        <w:t xml:space="preserve">A més, al Museu Arqueològic d'Oliva s’hi poden </w:t>
      </w:r>
      <w:proofErr w:type="spellStart"/>
      <w:r w:rsidRPr="00FD7058">
        <w:rPr>
          <w:rFonts w:cs="Arial"/>
        </w:rPr>
        <w:t>vore</w:t>
      </w:r>
      <w:proofErr w:type="spellEnd"/>
      <w:r w:rsidRPr="00FD7058">
        <w:rPr>
          <w:rFonts w:cs="Arial"/>
        </w:rPr>
        <w:t xml:space="preserve"> sis de les columnes de marbre blanc rematades per capitells corintis que hi havia al claustre,</w:t>
      </w:r>
      <w:r w:rsidRPr="00FD7058">
        <w:rPr>
          <w:rStyle w:val="Refdenotaalpie"/>
          <w:rFonts w:cs="Arial"/>
        </w:rPr>
        <w:footnoteReference w:id="2"/>
      </w:r>
      <w:r w:rsidRPr="00FD7058">
        <w:rPr>
          <w:rFonts w:cs="Arial"/>
        </w:rPr>
        <w:t xml:space="preserve"> així com una excel·lent maqueta i els </w:t>
      </w:r>
      <w:r>
        <w:rPr>
          <w:rFonts w:cs="Arial"/>
        </w:rPr>
        <w:lastRenderedPageBreak/>
        <w:t xml:space="preserve">113 </w:t>
      </w:r>
      <w:r w:rsidRPr="00FD7058">
        <w:rPr>
          <w:rFonts w:cs="Arial"/>
        </w:rPr>
        <w:t xml:space="preserve">plànols realitzats pels arquitectes danesos E. Fisher i V. </w:t>
      </w:r>
      <w:proofErr w:type="spellStart"/>
      <w:r w:rsidRPr="00FD7058">
        <w:rPr>
          <w:rFonts w:cs="Arial"/>
        </w:rPr>
        <w:t>Lauritzen</w:t>
      </w:r>
      <w:proofErr w:type="spellEnd"/>
      <w:r w:rsidRPr="00FD7058">
        <w:rPr>
          <w:rFonts w:cs="Arial"/>
        </w:rPr>
        <w:t xml:space="preserve"> en </w:t>
      </w:r>
      <w:r>
        <w:rPr>
          <w:rFonts w:cs="Arial"/>
        </w:rPr>
        <w:t>1917-</w:t>
      </w:r>
      <w:r w:rsidRPr="00FD7058">
        <w:rPr>
          <w:rFonts w:cs="Arial"/>
        </w:rPr>
        <w:t xml:space="preserve">20. De les restes que hi perduren, la </w:t>
      </w:r>
      <w:r w:rsidRPr="00FD7058">
        <w:rPr>
          <w:rFonts w:cs="Arial"/>
          <w:i/>
          <w:iCs/>
        </w:rPr>
        <w:t xml:space="preserve">Torre del carrer de la Comare </w:t>
      </w:r>
      <w:r w:rsidRPr="00FD7058">
        <w:rPr>
          <w:rFonts w:cs="Arial"/>
        </w:rPr>
        <w:t>és la més representativa pel seu estat de conservació. Una altra de les restes que es conserva (fora del perímetre del Palau) és la columna de la finestra situada a la casa núm. 7 del carrer Verge del Carme. Aquesta columna de marbre, amb capitell esculpit i influències morisques, és el partidor de llum d’una finestra que recorda les finestres gòtiques del Palau.</w:t>
      </w:r>
    </w:p>
    <w:p w:rsidR="00D012E5" w:rsidRPr="00632188" w:rsidRDefault="00D012E5" w:rsidP="00CA55A8">
      <w:pPr>
        <w:spacing w:before="120" w:after="0" w:line="240" w:lineRule="auto"/>
        <w:jc w:val="both"/>
        <w:rPr>
          <w:sz w:val="18"/>
          <w:szCs w:val="18"/>
        </w:rPr>
      </w:pPr>
      <w:r>
        <w:rPr>
          <w:noProof/>
          <w:lang w:eastAsia="ca-ES"/>
        </w:rPr>
        <w:drawing>
          <wp:anchor distT="0" distB="0" distL="114300" distR="114300" simplePos="0" relativeHeight="251659264" behindDoc="0" locked="0" layoutInCell="1" allowOverlap="1" wp14:anchorId="4AE285F3" wp14:editId="6F39AB4B">
            <wp:simplePos x="0" y="0"/>
            <wp:positionH relativeFrom="column">
              <wp:posOffset>40005</wp:posOffset>
            </wp:positionH>
            <wp:positionV relativeFrom="paragraph">
              <wp:posOffset>123190</wp:posOffset>
            </wp:positionV>
            <wp:extent cx="1943100" cy="1589405"/>
            <wp:effectExtent l="19050" t="19050" r="19050" b="1079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ànol d'implantació del PC en el seu ento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100" cy="1589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012E5" w:rsidRPr="00632188" w:rsidRDefault="00D012E5" w:rsidP="00CA55A8">
      <w:pPr>
        <w:spacing w:before="120" w:after="0" w:line="240" w:lineRule="auto"/>
        <w:jc w:val="both"/>
        <w:rPr>
          <w:sz w:val="18"/>
          <w:szCs w:val="18"/>
        </w:rPr>
      </w:pPr>
    </w:p>
    <w:p w:rsidR="00D012E5" w:rsidRPr="00632188" w:rsidRDefault="00D012E5" w:rsidP="00CA55A8">
      <w:pPr>
        <w:spacing w:before="120" w:after="0" w:line="240" w:lineRule="auto"/>
        <w:jc w:val="both"/>
        <w:rPr>
          <w:sz w:val="18"/>
          <w:szCs w:val="18"/>
        </w:rPr>
      </w:pPr>
    </w:p>
    <w:p w:rsidR="00D012E5" w:rsidRPr="00632188" w:rsidRDefault="00D012E5" w:rsidP="00CA55A8">
      <w:pPr>
        <w:spacing w:before="120" w:after="0" w:line="240" w:lineRule="auto"/>
        <w:jc w:val="both"/>
        <w:rPr>
          <w:sz w:val="18"/>
          <w:szCs w:val="18"/>
        </w:rPr>
      </w:pPr>
    </w:p>
    <w:p w:rsidR="00D012E5" w:rsidRPr="00632188" w:rsidRDefault="00D012E5" w:rsidP="00CA55A8">
      <w:pPr>
        <w:spacing w:before="120" w:after="0" w:line="240" w:lineRule="auto"/>
        <w:jc w:val="both"/>
        <w:rPr>
          <w:sz w:val="18"/>
          <w:szCs w:val="18"/>
        </w:rPr>
      </w:pPr>
    </w:p>
    <w:p w:rsidR="00D012E5" w:rsidRPr="00632188" w:rsidRDefault="00D012E5" w:rsidP="00CA55A8">
      <w:pPr>
        <w:spacing w:before="120" w:after="0" w:line="240" w:lineRule="auto"/>
        <w:jc w:val="both"/>
        <w:rPr>
          <w:sz w:val="18"/>
          <w:szCs w:val="18"/>
        </w:rPr>
      </w:pPr>
      <w:r w:rsidRPr="00632188">
        <w:rPr>
          <w:sz w:val="18"/>
          <w:szCs w:val="18"/>
        </w:rPr>
        <w:t>Plànol d'implantació del Palau Comtal en el seu entorn</w:t>
      </w:r>
    </w:p>
    <w:p w:rsidR="00D012E5" w:rsidRDefault="00D012E5" w:rsidP="00CA55A8">
      <w:pPr>
        <w:spacing w:before="120" w:after="0" w:line="240" w:lineRule="auto"/>
        <w:jc w:val="both"/>
        <w:rPr>
          <w:b/>
        </w:rPr>
      </w:pPr>
      <w:r w:rsidRPr="007868C2">
        <w:rPr>
          <w:b/>
          <w:sz w:val="18"/>
          <w:szCs w:val="18"/>
        </w:rPr>
        <w:t>Font:</w:t>
      </w:r>
      <w:r w:rsidRPr="007868C2">
        <w:rPr>
          <w:sz w:val="18"/>
          <w:szCs w:val="18"/>
        </w:rPr>
        <w:t xml:space="preserve"> </w:t>
      </w:r>
      <w:r w:rsidRPr="00632188">
        <w:rPr>
          <w:sz w:val="18"/>
          <w:szCs w:val="18"/>
        </w:rPr>
        <w:t xml:space="preserve">El </w:t>
      </w:r>
      <w:proofErr w:type="spellStart"/>
      <w:r w:rsidRPr="00632188">
        <w:rPr>
          <w:sz w:val="18"/>
          <w:szCs w:val="18"/>
        </w:rPr>
        <w:t>fabricante</w:t>
      </w:r>
      <w:proofErr w:type="spellEnd"/>
      <w:r w:rsidRPr="00632188">
        <w:rPr>
          <w:sz w:val="18"/>
          <w:szCs w:val="18"/>
        </w:rPr>
        <w:t xml:space="preserve"> de </w:t>
      </w:r>
      <w:proofErr w:type="spellStart"/>
      <w:r w:rsidRPr="00632188">
        <w:rPr>
          <w:sz w:val="18"/>
          <w:szCs w:val="18"/>
        </w:rPr>
        <w:t>espheras</w:t>
      </w:r>
      <w:proofErr w:type="spellEnd"/>
      <w:r w:rsidRPr="00632188">
        <w:rPr>
          <w:sz w:val="18"/>
          <w:szCs w:val="18"/>
        </w:rPr>
        <w:t xml:space="preserve"> (2018)</w:t>
      </w:r>
    </w:p>
    <w:p w:rsidR="009D219B" w:rsidRPr="009D219B" w:rsidRDefault="009D219B" w:rsidP="00CA55A8">
      <w:pPr>
        <w:spacing w:before="120" w:after="0" w:line="240" w:lineRule="auto"/>
      </w:pPr>
    </w:p>
    <w:p w:rsidR="009D219B" w:rsidRPr="009D219B" w:rsidRDefault="009D219B" w:rsidP="00CA55A8">
      <w:pPr>
        <w:spacing w:before="120" w:after="0" w:line="240" w:lineRule="auto"/>
      </w:pPr>
    </w:p>
    <w:p w:rsidR="00CA55A8" w:rsidRDefault="00CA55A8" w:rsidP="00CA55A8">
      <w:pPr>
        <w:spacing w:before="120" w:after="0" w:line="240" w:lineRule="auto"/>
      </w:pPr>
    </w:p>
    <w:p w:rsidR="00CA55A8" w:rsidRPr="009D219B" w:rsidRDefault="00CA55A8" w:rsidP="00CA55A8">
      <w:pPr>
        <w:spacing w:before="120" w:after="0" w:line="240" w:lineRule="auto"/>
        <w:rPr>
          <w:b/>
        </w:rPr>
      </w:pPr>
      <w:r w:rsidRPr="009D219B">
        <w:rPr>
          <w:b/>
        </w:rPr>
        <w:t>Enginy del sucre</w:t>
      </w:r>
    </w:p>
    <w:p w:rsidR="00CA55A8" w:rsidRDefault="00CA55A8" w:rsidP="00CA55A8">
      <w:pPr>
        <w:autoSpaceDE w:val="0"/>
        <w:autoSpaceDN w:val="0"/>
        <w:adjustRightInd w:val="0"/>
        <w:spacing w:before="120" w:after="0" w:line="240" w:lineRule="auto"/>
        <w:jc w:val="both"/>
        <w:rPr>
          <w:rFonts w:cs="Arial"/>
        </w:rPr>
      </w:pPr>
      <w:r>
        <w:rPr>
          <w:rFonts w:cs="Arial"/>
        </w:rPr>
        <w:t>A</w:t>
      </w:r>
      <w:r w:rsidRPr="00CA55A8">
        <w:rPr>
          <w:rFonts w:cs="Arial"/>
        </w:rPr>
        <w:t>ntiga llotja sucrera</w:t>
      </w:r>
      <w:r>
        <w:rPr>
          <w:rFonts w:cs="Arial"/>
        </w:rPr>
        <w:t xml:space="preserve">, i </w:t>
      </w:r>
      <w:r w:rsidRPr="00CA55A8">
        <w:rPr>
          <w:rFonts w:cs="Arial"/>
        </w:rPr>
        <w:t>una de les escassíssimes mostres de l'arquitectura industrial valenciana del s. XV</w:t>
      </w:r>
      <w:r>
        <w:rPr>
          <w:rFonts w:cs="Arial"/>
        </w:rPr>
        <w:t>.</w:t>
      </w:r>
    </w:p>
    <w:p w:rsidR="00CA55A8" w:rsidRPr="00FD7058" w:rsidRDefault="00CA55A8" w:rsidP="00CA55A8">
      <w:pPr>
        <w:autoSpaceDE w:val="0"/>
        <w:autoSpaceDN w:val="0"/>
        <w:adjustRightInd w:val="0"/>
        <w:spacing w:before="120" w:after="0" w:line="240" w:lineRule="auto"/>
        <w:jc w:val="both"/>
        <w:rPr>
          <w:rFonts w:cs="Arial"/>
        </w:rPr>
      </w:pPr>
      <w:r w:rsidRPr="00FD7058">
        <w:rPr>
          <w:rFonts w:cs="Arial"/>
        </w:rPr>
        <w:t xml:space="preserve">L'edifici que hui denominem "Enginy" formava part del complex de la producció de sucre de canya en el s. XVI. Feia la funció de llotja de manipulació de la pasta obtinguda després de moldre la canya de sucre. Era un edifici de planta rectangular amb dues naus de </w:t>
      </w:r>
      <w:r>
        <w:rPr>
          <w:rFonts w:cs="Arial"/>
        </w:rPr>
        <w:t>6-7</w:t>
      </w:r>
      <w:r w:rsidRPr="00FD7058">
        <w:rPr>
          <w:rFonts w:cs="Arial"/>
        </w:rPr>
        <w:t xml:space="preserve"> crugies cobertes amb teula àrab a dues aigües. La seua fàbrica era senzilla i utilitzava rajola i morter de cal. En l'actualitat es reconeixen cinc arcs apuntats en la façana del carrer, totalment tapiats. En l'immoble del C/ Enginy 12, encara es conserva el que sembla el tram de forjat més antic.</w:t>
      </w:r>
    </w:p>
    <w:p w:rsidR="00CA55A8" w:rsidRPr="00954AD3" w:rsidRDefault="00CA55A8" w:rsidP="00954AD3">
      <w:pPr>
        <w:spacing w:after="0" w:line="240" w:lineRule="auto"/>
        <w:rPr>
          <w:sz w:val="16"/>
          <w:szCs w:val="16"/>
        </w:rPr>
      </w:pPr>
    </w:p>
    <w:p w:rsidR="00CA55A8" w:rsidRPr="00CA55A8" w:rsidRDefault="00CA55A8" w:rsidP="00CA55A8">
      <w:pPr>
        <w:spacing w:before="120" w:after="0" w:line="240" w:lineRule="auto"/>
        <w:jc w:val="both"/>
        <w:rPr>
          <w:rFonts w:cs="Arial"/>
        </w:rPr>
      </w:pPr>
      <w:r w:rsidRPr="00CA55A8">
        <w:rPr>
          <w:rFonts w:cs="Arial"/>
          <w:noProof/>
          <w:sz w:val="18"/>
          <w:szCs w:val="18"/>
          <w:lang w:eastAsia="ca-ES"/>
        </w:rPr>
        <w:drawing>
          <wp:anchor distT="0" distB="0" distL="114300" distR="114300" simplePos="0" relativeHeight="251661312" behindDoc="0" locked="0" layoutInCell="1" allowOverlap="1" wp14:anchorId="126D4B4B" wp14:editId="05EE3738">
            <wp:simplePos x="0" y="0"/>
            <wp:positionH relativeFrom="column">
              <wp:posOffset>2798445</wp:posOffset>
            </wp:positionH>
            <wp:positionV relativeFrom="paragraph">
              <wp:posOffset>87924</wp:posOffset>
            </wp:positionV>
            <wp:extent cx="2240280" cy="2995635"/>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fó ceràmic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0280" cy="2995635"/>
                    </a:xfrm>
                    <a:prstGeom prst="rect">
                      <a:avLst/>
                    </a:prstGeom>
                  </pic:spPr>
                </pic:pic>
              </a:graphicData>
            </a:graphic>
            <wp14:sizeRelH relativeFrom="page">
              <wp14:pctWidth>0</wp14:pctWidth>
            </wp14:sizeRelH>
            <wp14:sizeRelV relativeFrom="page">
              <wp14:pctHeight>0</wp14:pctHeight>
            </wp14:sizeRelV>
          </wp:anchor>
        </w:drawing>
      </w:r>
      <w:r w:rsidRPr="00CA55A8">
        <w:rPr>
          <w:rFonts w:ascii="Arial" w:hAnsi="Arial" w:cs="Arial"/>
          <w:sz w:val="20"/>
          <w:szCs w:val="20"/>
          <w:lang w:eastAsia="ca-ES"/>
        </w:rPr>
        <w:t xml:space="preserve">   </w:t>
      </w:r>
      <w:r w:rsidRPr="00CA55A8">
        <w:rPr>
          <w:rFonts w:ascii="Arial" w:hAnsi="Arial" w:cs="Arial"/>
          <w:noProof/>
          <w:sz w:val="20"/>
          <w:szCs w:val="20"/>
          <w:lang w:eastAsia="ca-ES"/>
        </w:rPr>
        <w:drawing>
          <wp:inline distT="0" distB="0" distL="0" distR="0" wp14:anchorId="1EC910F3" wp14:editId="229BF732">
            <wp:extent cx="2260814" cy="3009900"/>
            <wp:effectExtent l="0" t="0" r="6350" b="0"/>
            <wp:docPr id="3" name="Imagen 3" descr="L'Eng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i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614" cy="3018953"/>
                    </a:xfrm>
                    <a:prstGeom prst="rect">
                      <a:avLst/>
                    </a:prstGeom>
                    <a:noFill/>
                    <a:ln>
                      <a:noFill/>
                    </a:ln>
                  </pic:spPr>
                </pic:pic>
              </a:graphicData>
            </a:graphic>
          </wp:inline>
        </w:drawing>
      </w:r>
    </w:p>
    <w:p w:rsidR="00CA55A8" w:rsidRPr="00CA55A8" w:rsidRDefault="00CA55A8" w:rsidP="00CA55A8">
      <w:pPr>
        <w:widowControl w:val="0"/>
        <w:autoSpaceDE w:val="0"/>
        <w:autoSpaceDN w:val="0"/>
        <w:adjustRightInd w:val="0"/>
        <w:spacing w:before="120" w:after="0" w:line="240" w:lineRule="auto"/>
        <w:jc w:val="both"/>
        <w:rPr>
          <w:rFonts w:cs="Arial"/>
          <w:sz w:val="12"/>
          <w:szCs w:val="12"/>
        </w:rPr>
      </w:pPr>
    </w:p>
    <w:p w:rsidR="00D012E5" w:rsidRDefault="00CA55A8" w:rsidP="00954AD3">
      <w:pPr>
        <w:widowControl w:val="0"/>
        <w:autoSpaceDE w:val="0"/>
        <w:autoSpaceDN w:val="0"/>
        <w:adjustRightInd w:val="0"/>
        <w:spacing w:before="120" w:after="0" w:line="240" w:lineRule="auto"/>
        <w:jc w:val="both"/>
      </w:pPr>
      <w:r w:rsidRPr="00CA55A8">
        <w:rPr>
          <w:rFonts w:cs="Arial"/>
          <w:b/>
          <w:sz w:val="18"/>
          <w:szCs w:val="18"/>
        </w:rPr>
        <w:t>Esquerra</w:t>
      </w:r>
      <w:r w:rsidRPr="00CA55A8">
        <w:rPr>
          <w:rFonts w:cs="Arial"/>
          <w:sz w:val="18"/>
          <w:szCs w:val="18"/>
        </w:rPr>
        <w:t xml:space="preserve">: Il·lustració de </w:t>
      </w:r>
      <w:proofErr w:type="spellStart"/>
      <w:r w:rsidRPr="00CA55A8">
        <w:rPr>
          <w:rFonts w:cs="Arial"/>
          <w:sz w:val="18"/>
          <w:szCs w:val="18"/>
        </w:rPr>
        <w:t>Fco</w:t>
      </w:r>
      <w:proofErr w:type="spellEnd"/>
      <w:r w:rsidRPr="00CA55A8">
        <w:rPr>
          <w:rFonts w:cs="Arial"/>
          <w:sz w:val="18"/>
          <w:szCs w:val="18"/>
        </w:rPr>
        <w:t xml:space="preserve">. Pons </w:t>
      </w:r>
      <w:proofErr w:type="spellStart"/>
      <w:r w:rsidRPr="00CA55A8">
        <w:rPr>
          <w:rFonts w:cs="Arial"/>
          <w:sz w:val="18"/>
          <w:szCs w:val="18"/>
        </w:rPr>
        <w:t>Moncho</w:t>
      </w:r>
      <w:proofErr w:type="spellEnd"/>
      <w:r w:rsidRPr="00CA55A8">
        <w:rPr>
          <w:rFonts w:cs="Arial"/>
          <w:sz w:val="18"/>
          <w:szCs w:val="18"/>
        </w:rPr>
        <w:t xml:space="preserve"> (</w:t>
      </w:r>
      <w:r w:rsidRPr="00CA55A8">
        <w:rPr>
          <w:smallCaps/>
          <w:color w:val="000000"/>
          <w:spacing w:val="-2"/>
          <w:sz w:val="18"/>
          <w:szCs w:val="18"/>
        </w:rPr>
        <w:t>Domínguez</w:t>
      </w:r>
      <w:r w:rsidRPr="00CA55A8">
        <w:rPr>
          <w:color w:val="000000"/>
          <w:spacing w:val="-2"/>
          <w:sz w:val="18"/>
          <w:szCs w:val="18"/>
        </w:rPr>
        <w:t>-</w:t>
      </w:r>
      <w:r w:rsidRPr="00CA55A8">
        <w:rPr>
          <w:smallCaps/>
          <w:color w:val="000000"/>
          <w:spacing w:val="-2"/>
          <w:sz w:val="18"/>
          <w:szCs w:val="18"/>
        </w:rPr>
        <w:t>Pons</w:t>
      </w:r>
      <w:r w:rsidRPr="00CA55A8">
        <w:rPr>
          <w:color w:val="000000"/>
          <w:spacing w:val="-2"/>
          <w:sz w:val="18"/>
          <w:szCs w:val="18"/>
        </w:rPr>
        <w:t xml:space="preserve">, </w:t>
      </w:r>
      <w:r w:rsidRPr="00CA55A8">
        <w:rPr>
          <w:i/>
          <w:color w:val="000000"/>
          <w:spacing w:val="-2"/>
          <w:sz w:val="18"/>
          <w:szCs w:val="18"/>
        </w:rPr>
        <w:t>Sant Roc d’Oliva</w:t>
      </w:r>
      <w:r w:rsidRPr="00CA55A8">
        <w:rPr>
          <w:color w:val="000000"/>
          <w:spacing w:val="-2"/>
          <w:sz w:val="18"/>
          <w:szCs w:val="18"/>
        </w:rPr>
        <w:t xml:space="preserve">..., pàg. 620; </w:t>
      </w:r>
      <w:r w:rsidRPr="00CA55A8">
        <w:rPr>
          <w:i/>
          <w:color w:val="000000"/>
          <w:spacing w:val="-2"/>
          <w:sz w:val="18"/>
          <w:szCs w:val="18"/>
        </w:rPr>
        <w:t>Cabdells núm. VI</w:t>
      </w:r>
      <w:r w:rsidRPr="00CA55A8">
        <w:rPr>
          <w:color w:val="000000"/>
          <w:spacing w:val="-2"/>
          <w:sz w:val="18"/>
          <w:szCs w:val="18"/>
        </w:rPr>
        <w:t>, pàg. 159), la qual va servir d'esbós al conegut plafó ceràmic ubicat al carrer Molí (</w:t>
      </w:r>
      <w:r w:rsidRPr="00CA55A8">
        <w:rPr>
          <w:b/>
          <w:color w:val="000000"/>
          <w:spacing w:val="-2"/>
          <w:sz w:val="18"/>
          <w:szCs w:val="18"/>
        </w:rPr>
        <w:t>Dreta</w:t>
      </w:r>
      <w:r w:rsidRPr="00CA55A8">
        <w:rPr>
          <w:color w:val="000000"/>
          <w:spacing w:val="-2"/>
          <w:sz w:val="18"/>
          <w:szCs w:val="18"/>
        </w:rPr>
        <w:t>).</w:t>
      </w:r>
    </w:p>
    <w:sectPr w:rsidR="00D012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704" w:rsidRDefault="00782704" w:rsidP="00D012E5">
      <w:pPr>
        <w:spacing w:after="0" w:line="240" w:lineRule="auto"/>
      </w:pPr>
      <w:r>
        <w:separator/>
      </w:r>
    </w:p>
  </w:endnote>
  <w:endnote w:type="continuationSeparator" w:id="0">
    <w:p w:rsidR="00782704" w:rsidRDefault="00782704" w:rsidP="00D01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704" w:rsidRDefault="00782704" w:rsidP="00D012E5">
      <w:pPr>
        <w:spacing w:after="0" w:line="240" w:lineRule="auto"/>
      </w:pPr>
      <w:r>
        <w:separator/>
      </w:r>
    </w:p>
  </w:footnote>
  <w:footnote w:type="continuationSeparator" w:id="0">
    <w:p w:rsidR="00782704" w:rsidRDefault="00782704" w:rsidP="00D012E5">
      <w:pPr>
        <w:spacing w:after="0" w:line="240" w:lineRule="auto"/>
      </w:pPr>
      <w:r>
        <w:continuationSeparator/>
      </w:r>
    </w:p>
  </w:footnote>
  <w:footnote w:id="1">
    <w:p w:rsidR="009D219B" w:rsidRPr="009C2753" w:rsidRDefault="009D219B" w:rsidP="009D219B">
      <w:pPr>
        <w:widowControl w:val="0"/>
        <w:autoSpaceDE w:val="0"/>
        <w:autoSpaceDN w:val="0"/>
        <w:adjustRightInd w:val="0"/>
        <w:spacing w:before="120" w:after="0" w:line="240" w:lineRule="auto"/>
        <w:ind w:right="-1"/>
        <w:jc w:val="both"/>
        <w:rPr>
          <w:sz w:val="18"/>
          <w:szCs w:val="18"/>
        </w:rPr>
      </w:pPr>
      <w:r w:rsidRPr="009C2753">
        <w:rPr>
          <w:rStyle w:val="Refdenotaalpie"/>
          <w:sz w:val="18"/>
          <w:szCs w:val="18"/>
        </w:rPr>
        <w:footnoteRef/>
      </w:r>
      <w:r w:rsidRPr="009C2753">
        <w:rPr>
          <w:rFonts w:cs="Calibri"/>
          <w:sz w:val="18"/>
          <w:szCs w:val="18"/>
        </w:rPr>
        <w:t xml:space="preserve">“Declaració del Palau com a Monument Arquitectònic Artístic (2-VIII-1920)”, dins </w:t>
      </w:r>
      <w:r w:rsidRPr="009C2753">
        <w:rPr>
          <w:rFonts w:cs="Calibri"/>
          <w:i/>
          <w:sz w:val="18"/>
          <w:szCs w:val="18"/>
        </w:rPr>
        <w:t>Cabdells núm. 1</w:t>
      </w:r>
      <w:r w:rsidRPr="009C2753">
        <w:rPr>
          <w:rFonts w:cs="Calibri"/>
          <w:sz w:val="18"/>
          <w:szCs w:val="18"/>
        </w:rPr>
        <w:t xml:space="preserve">, Associació Cultural Centelles i </w:t>
      </w:r>
      <w:proofErr w:type="spellStart"/>
      <w:r w:rsidRPr="009C2753">
        <w:rPr>
          <w:rFonts w:cs="Calibri"/>
          <w:sz w:val="18"/>
          <w:szCs w:val="18"/>
        </w:rPr>
        <w:t>Riusech</w:t>
      </w:r>
      <w:proofErr w:type="spellEnd"/>
      <w:r w:rsidRPr="009C2753">
        <w:rPr>
          <w:rFonts w:cs="Calibri"/>
          <w:sz w:val="18"/>
          <w:szCs w:val="18"/>
        </w:rPr>
        <w:t>, Oliva, 1999, pàgs. 172-173.</w:t>
      </w:r>
    </w:p>
  </w:footnote>
  <w:footnote w:id="2">
    <w:p w:rsidR="00D012E5" w:rsidRPr="009C2753" w:rsidRDefault="00D012E5" w:rsidP="00D012E5">
      <w:pPr>
        <w:pStyle w:val="Textonotapie"/>
        <w:spacing w:before="120"/>
        <w:jc w:val="both"/>
        <w:rPr>
          <w:sz w:val="18"/>
          <w:szCs w:val="18"/>
          <w:lang w:val="es-ES"/>
        </w:rPr>
      </w:pPr>
      <w:r w:rsidRPr="009C2753">
        <w:rPr>
          <w:rStyle w:val="Refdenotaalpie"/>
          <w:sz w:val="18"/>
          <w:szCs w:val="18"/>
        </w:rPr>
        <w:footnoteRef/>
      </w:r>
      <w:r w:rsidRPr="009C2753">
        <w:rPr>
          <w:sz w:val="18"/>
          <w:szCs w:val="18"/>
        </w:rPr>
        <w:t xml:space="preserve"> </w:t>
      </w:r>
      <w:proofErr w:type="spellStart"/>
      <w:r w:rsidRPr="009C2753">
        <w:rPr>
          <w:sz w:val="18"/>
          <w:szCs w:val="18"/>
          <w:lang w:val="es-ES"/>
        </w:rPr>
        <w:t>Aquestes</w:t>
      </w:r>
      <w:proofErr w:type="spellEnd"/>
      <w:r w:rsidRPr="009C2753">
        <w:rPr>
          <w:sz w:val="18"/>
          <w:szCs w:val="18"/>
          <w:lang w:val="es-ES"/>
        </w:rPr>
        <w:t xml:space="preserve"> </w:t>
      </w:r>
      <w:proofErr w:type="spellStart"/>
      <w:r w:rsidRPr="009C2753">
        <w:rPr>
          <w:sz w:val="18"/>
          <w:szCs w:val="18"/>
          <w:lang w:val="es-ES"/>
        </w:rPr>
        <w:t>columnes</w:t>
      </w:r>
      <w:proofErr w:type="spellEnd"/>
      <w:r w:rsidRPr="009C2753">
        <w:rPr>
          <w:sz w:val="18"/>
          <w:szCs w:val="18"/>
          <w:lang w:val="es-ES"/>
        </w:rPr>
        <w:t xml:space="preserve"> es </w:t>
      </w:r>
      <w:proofErr w:type="spellStart"/>
      <w:r w:rsidRPr="009C2753">
        <w:rPr>
          <w:sz w:val="18"/>
          <w:szCs w:val="18"/>
          <w:lang w:val="es-ES"/>
        </w:rPr>
        <w:t>trobaven</w:t>
      </w:r>
      <w:proofErr w:type="spellEnd"/>
      <w:r w:rsidRPr="009C2753">
        <w:rPr>
          <w:sz w:val="18"/>
          <w:szCs w:val="18"/>
          <w:lang w:val="es-ES"/>
        </w:rPr>
        <w:t xml:space="preserve"> a la </w:t>
      </w:r>
      <w:proofErr w:type="spellStart"/>
      <w:r w:rsidRPr="009C2753">
        <w:rPr>
          <w:sz w:val="18"/>
          <w:szCs w:val="18"/>
          <w:lang w:val="es-ES"/>
        </w:rPr>
        <w:t>Capella</w:t>
      </w:r>
      <w:proofErr w:type="spellEnd"/>
      <w:r w:rsidRPr="009C2753">
        <w:rPr>
          <w:sz w:val="18"/>
          <w:szCs w:val="18"/>
          <w:lang w:val="es-ES"/>
        </w:rPr>
        <w:t xml:space="preserve"> del Roser del temple parroquial de Santa </w:t>
      </w:r>
      <w:proofErr w:type="spellStart"/>
      <w:r w:rsidRPr="009C2753">
        <w:rPr>
          <w:sz w:val="18"/>
          <w:szCs w:val="18"/>
          <w:lang w:val="es-ES"/>
        </w:rPr>
        <w:t>Maria</w:t>
      </w:r>
      <w:proofErr w:type="spellEnd"/>
      <w:r w:rsidRPr="009C2753">
        <w:rPr>
          <w:sz w:val="18"/>
          <w:szCs w:val="18"/>
          <w:lang w:val="es-ES"/>
        </w:rPr>
        <w:t xml:space="preserve">, </w:t>
      </w:r>
      <w:proofErr w:type="spellStart"/>
      <w:r w:rsidRPr="009C2753">
        <w:rPr>
          <w:sz w:val="18"/>
          <w:szCs w:val="18"/>
          <w:lang w:val="es-ES"/>
        </w:rPr>
        <w:t>decorant</w:t>
      </w:r>
      <w:proofErr w:type="spellEnd"/>
      <w:r w:rsidRPr="009C2753">
        <w:rPr>
          <w:sz w:val="18"/>
          <w:szCs w:val="18"/>
          <w:lang w:val="es-ES"/>
        </w:rPr>
        <w:t xml:space="preserve"> un altar lateral de la </w:t>
      </w:r>
      <w:proofErr w:type="spellStart"/>
      <w:r w:rsidRPr="009C2753">
        <w:rPr>
          <w:sz w:val="18"/>
          <w:szCs w:val="18"/>
          <w:lang w:val="es-ES"/>
        </w:rPr>
        <w:t>mateixa</w:t>
      </w:r>
      <w:proofErr w:type="spellEnd"/>
      <w:r w:rsidRPr="009C2753">
        <w:rPr>
          <w:sz w:val="18"/>
          <w:szCs w:val="18"/>
          <w:lang w:val="es-ES"/>
        </w:rPr>
        <w:t xml:space="preserve">, </w:t>
      </w:r>
      <w:proofErr w:type="spellStart"/>
      <w:r w:rsidRPr="009C2753">
        <w:rPr>
          <w:sz w:val="18"/>
          <w:szCs w:val="18"/>
          <w:lang w:val="es-ES"/>
        </w:rPr>
        <w:t>fins</w:t>
      </w:r>
      <w:proofErr w:type="spellEnd"/>
      <w:r w:rsidRPr="009C2753">
        <w:rPr>
          <w:sz w:val="18"/>
          <w:szCs w:val="18"/>
          <w:lang w:val="es-ES"/>
        </w:rPr>
        <w:t xml:space="preserve"> que </w:t>
      </w:r>
      <w:proofErr w:type="spellStart"/>
      <w:r w:rsidRPr="009C2753">
        <w:rPr>
          <w:sz w:val="18"/>
          <w:szCs w:val="18"/>
          <w:lang w:val="es-ES"/>
        </w:rPr>
        <w:t>l'any</w:t>
      </w:r>
      <w:proofErr w:type="spellEnd"/>
      <w:r w:rsidRPr="009C2753">
        <w:rPr>
          <w:sz w:val="18"/>
          <w:szCs w:val="18"/>
          <w:lang w:val="es-ES"/>
        </w:rPr>
        <w:t xml:space="preserve"> </w:t>
      </w:r>
      <w:r w:rsidRPr="009C2753">
        <w:rPr>
          <w:rFonts w:cs="Arial"/>
          <w:sz w:val="18"/>
          <w:szCs w:val="18"/>
        </w:rPr>
        <w:t>1997-1998 l'Ajuntament d'Oliva va signar un conveni amb l'Arquebisbat de València per a la seua cessió. Durant l'exposició van estar a la Cripta i, posteriorment, exposades al Museu Arqueològic.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2E5"/>
    <w:rsid w:val="005527F1"/>
    <w:rsid w:val="005A39DD"/>
    <w:rsid w:val="00782704"/>
    <w:rsid w:val="00954000"/>
    <w:rsid w:val="00954AD3"/>
    <w:rsid w:val="009D219B"/>
    <w:rsid w:val="00B71571"/>
    <w:rsid w:val="00CA55A8"/>
    <w:rsid w:val="00D012E5"/>
    <w:rsid w:val="00FB6C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2E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12E5"/>
    <w:pPr>
      <w:spacing w:after="0" w:line="240" w:lineRule="auto"/>
    </w:pPr>
    <w:rPr>
      <w:sz w:val="20"/>
      <w:szCs w:val="20"/>
    </w:rPr>
  </w:style>
  <w:style w:type="character" w:customStyle="1" w:styleId="TextonotapieCar">
    <w:name w:val="Texto nota pie Car"/>
    <w:basedOn w:val="Fuentedeprrafopredeter"/>
    <w:link w:val="Textonotapie"/>
    <w:uiPriority w:val="99"/>
    <w:rsid w:val="00D012E5"/>
    <w:rPr>
      <w:sz w:val="20"/>
      <w:szCs w:val="20"/>
      <w:lang w:val="ca-ES"/>
    </w:rPr>
  </w:style>
  <w:style w:type="character" w:styleId="Refdenotaalpie">
    <w:name w:val="footnote reference"/>
    <w:basedOn w:val="Fuentedeprrafopredeter"/>
    <w:uiPriority w:val="99"/>
    <w:semiHidden/>
    <w:unhideWhenUsed/>
    <w:rsid w:val="00D012E5"/>
    <w:rPr>
      <w:vertAlign w:val="superscript"/>
    </w:rPr>
  </w:style>
  <w:style w:type="paragraph" w:styleId="Textodeglobo">
    <w:name w:val="Balloon Text"/>
    <w:basedOn w:val="Normal"/>
    <w:link w:val="TextodegloboCar"/>
    <w:uiPriority w:val="99"/>
    <w:semiHidden/>
    <w:unhideWhenUsed/>
    <w:rsid w:val="009D21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219B"/>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2E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12E5"/>
    <w:pPr>
      <w:spacing w:after="0" w:line="240" w:lineRule="auto"/>
    </w:pPr>
    <w:rPr>
      <w:sz w:val="20"/>
      <w:szCs w:val="20"/>
    </w:rPr>
  </w:style>
  <w:style w:type="character" w:customStyle="1" w:styleId="TextonotapieCar">
    <w:name w:val="Texto nota pie Car"/>
    <w:basedOn w:val="Fuentedeprrafopredeter"/>
    <w:link w:val="Textonotapie"/>
    <w:uiPriority w:val="99"/>
    <w:rsid w:val="00D012E5"/>
    <w:rPr>
      <w:sz w:val="20"/>
      <w:szCs w:val="20"/>
      <w:lang w:val="ca-ES"/>
    </w:rPr>
  </w:style>
  <w:style w:type="character" w:styleId="Refdenotaalpie">
    <w:name w:val="footnote reference"/>
    <w:basedOn w:val="Fuentedeprrafopredeter"/>
    <w:uiPriority w:val="99"/>
    <w:semiHidden/>
    <w:unhideWhenUsed/>
    <w:rsid w:val="00D012E5"/>
    <w:rPr>
      <w:vertAlign w:val="superscript"/>
    </w:rPr>
  </w:style>
  <w:style w:type="paragraph" w:styleId="Textodeglobo">
    <w:name w:val="Balloon Text"/>
    <w:basedOn w:val="Normal"/>
    <w:link w:val="TextodegloboCar"/>
    <w:uiPriority w:val="99"/>
    <w:semiHidden/>
    <w:unhideWhenUsed/>
    <w:rsid w:val="009D21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219B"/>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571</Words>
  <Characters>3255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2018-11-19T08:46:00Z</dcterms:created>
  <dcterms:modified xsi:type="dcterms:W3CDTF">2018-11-19T10:18:00Z</dcterms:modified>
</cp:coreProperties>
</file>