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88" w:rsidRDefault="00311488" w:rsidP="0031148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4406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244061"/>
          <w:sz w:val="24"/>
          <w:szCs w:val="24"/>
          <w:u w:val="single"/>
          <w:lang w:eastAsia="es-ES"/>
        </w:rPr>
        <w:t>INFORMACIÓN FISCAL</w:t>
      </w:r>
      <w:r>
        <w:rPr>
          <w:rFonts w:ascii="Arial" w:eastAsia="Times New Roman" w:hAnsi="Arial" w:cs="Arial"/>
          <w:b/>
          <w:color w:val="244061"/>
          <w:sz w:val="24"/>
          <w:szCs w:val="24"/>
          <w:u w:val="single"/>
          <w:lang w:eastAsia="es-ES"/>
        </w:rPr>
        <w:t>, MERCANTIL Y LABORAL</w:t>
      </w:r>
      <w:r>
        <w:rPr>
          <w:rFonts w:ascii="Arial" w:eastAsia="Times New Roman" w:hAnsi="Arial" w:cs="Arial"/>
          <w:b/>
          <w:color w:val="244061"/>
          <w:sz w:val="24"/>
          <w:szCs w:val="24"/>
          <w:u w:val="single"/>
          <w:lang w:eastAsia="es-ES"/>
        </w:rPr>
        <w:t xml:space="preserve"> PYMES Y AUTÓNOMOS (COVID – 19)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44061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Real Decreto-Ley 7/2020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contempla una serie de medidas para la flexibilización de aplazamientos para pymes y autónomos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paliar las consecuencias económicas del COVID-19. 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s-ES"/>
        </w:rPr>
        <w:t xml:space="preserve">ÁMBITO FISCAL 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ámbito, el R.D hace referencia a la posibilidad de solicitar el aplazamiento de los modelos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IVA,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retenciones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IRPF (Modelos 111 y 115)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pagos a cuenta del Impuesto de Sociedades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principales características de esta medida son las siguientes: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11488" w:rsidRDefault="00311488" w:rsidP="00311488">
      <w:pPr>
        <w:shd w:val="clear" w:color="auto" w:fill="FFFFFF"/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          Aplazamiento del pago en 6 meses con un límite de 30.000 euros. La fecha límite, de momento, es el 30 de mayo.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          Carencia de intereses durante los 3 primeros meses del aplazamiento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          Serán aplazables todas las deudas tributarias que se produzcan desde la entrada en vigor del RDL 7/2020 hasta el próximo 30 de mayo de 2020</w:t>
      </w:r>
    </w:p>
    <w:p w:rsidR="00311488" w:rsidRDefault="00311488" w:rsidP="003114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488" w:rsidRDefault="00311488" w:rsidP="00311488">
      <w:pPr>
        <w:shd w:val="clear" w:color="auto" w:fill="FFFFFF"/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          Se concederán a empresas con un volumen de facturación inferior a 6.010.121,04 euros en el ejercicio 2019</w:t>
      </w:r>
    </w:p>
    <w:p w:rsidR="00311488" w:rsidRDefault="00311488" w:rsidP="00311488">
      <w:pPr>
        <w:rPr>
          <w:sz w:val="24"/>
          <w:szCs w:val="24"/>
        </w:rPr>
      </w:pPr>
    </w:p>
    <w:p w:rsidR="00311488" w:rsidRDefault="00311488" w:rsidP="00311488">
      <w:p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ÁMBITO MERCANTIL</w:t>
      </w:r>
    </w:p>
    <w:p w:rsidR="00311488" w:rsidRDefault="00311488" w:rsidP="00311488">
      <w:pPr>
        <w:jc w:val="both"/>
        <w:rPr>
          <w:rFonts w:ascii="Arial" w:hAnsi="Arial" w:cs="Arial"/>
          <w:b/>
          <w:sz w:val="24"/>
          <w:szCs w:val="24"/>
        </w:rPr>
      </w:pPr>
    </w:p>
    <w:p w:rsidR="00311488" w:rsidRDefault="00311488" w:rsidP="00311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AYUDAS AL SECTOR TURÍSTICO</w:t>
      </w:r>
    </w:p>
    <w:p w:rsidR="00311488" w:rsidRDefault="00311488" w:rsidP="0031148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11488" w:rsidRDefault="00311488" w:rsidP="003114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ÁMBITO FINANCIERO:</w:t>
      </w:r>
    </w:p>
    <w:p w:rsidR="00311488" w:rsidRDefault="00311488" w:rsidP="0031148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11488" w:rsidRPr="00311488" w:rsidRDefault="00311488" w:rsidP="003114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11488">
        <w:rPr>
          <w:rFonts w:ascii="Arial" w:hAnsi="Arial" w:cs="Arial"/>
          <w:sz w:val="24"/>
          <w:szCs w:val="24"/>
        </w:rPr>
        <w:t>Se amplía la línea de financiación del ICO para sector turístico, empresas del sector y la hostelería. En el plazo de 10 días, las entidades financieras deben tener dispuestos los créditos</w:t>
      </w:r>
    </w:p>
    <w:p w:rsidR="00311488" w:rsidRDefault="00311488" w:rsidP="00311488">
      <w:pPr>
        <w:jc w:val="both"/>
        <w:rPr>
          <w:rFonts w:ascii="Arial" w:hAnsi="Arial" w:cs="Arial"/>
          <w:sz w:val="24"/>
          <w:szCs w:val="24"/>
        </w:rPr>
      </w:pPr>
    </w:p>
    <w:p w:rsidR="00311488" w:rsidRDefault="00311488" w:rsidP="00311488">
      <w:pPr>
        <w:jc w:val="both"/>
        <w:rPr>
          <w:rFonts w:ascii="Arial" w:hAnsi="Arial" w:cs="Arial"/>
          <w:sz w:val="24"/>
          <w:szCs w:val="24"/>
        </w:rPr>
      </w:pPr>
    </w:p>
    <w:p w:rsidR="00311488" w:rsidRDefault="00311488" w:rsidP="00311488">
      <w:pPr>
        <w:jc w:val="both"/>
        <w:rPr>
          <w:rFonts w:ascii="Arial" w:hAnsi="Arial" w:cs="Arial"/>
          <w:sz w:val="24"/>
          <w:szCs w:val="24"/>
        </w:rPr>
      </w:pPr>
    </w:p>
    <w:p w:rsidR="00311488" w:rsidRDefault="00311488" w:rsidP="003114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ÁMBITO LABORAL</w:t>
      </w:r>
      <w:r>
        <w:rPr>
          <w:rFonts w:ascii="Arial" w:hAnsi="Arial" w:cs="Arial"/>
          <w:sz w:val="24"/>
          <w:szCs w:val="24"/>
        </w:rPr>
        <w:t>:</w:t>
      </w:r>
    </w:p>
    <w:p w:rsidR="00311488" w:rsidRDefault="00311488" w:rsidP="00311488">
      <w:pPr>
        <w:pStyle w:val="NormalWeb"/>
        <w:numPr>
          <w:ilvl w:val="0"/>
          <w:numId w:val="2"/>
        </w:numPr>
        <w:shd w:val="clear" w:color="auto" w:fill="FFFFFF"/>
        <w:spacing w:before="450" w:beforeAutospacing="0" w:after="45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empresas privadas </w:t>
      </w:r>
      <w:r>
        <w:rPr>
          <w:rFonts w:ascii="Arial" w:hAnsi="Arial" w:cs="Arial"/>
        </w:rPr>
        <w:t xml:space="preserve">turísticas y hostelería </w:t>
      </w:r>
      <w:r>
        <w:rPr>
          <w:rFonts w:ascii="Arial" w:hAnsi="Arial" w:cs="Arial"/>
          <w:b/>
        </w:rPr>
        <w:t>podrán aplicar una bonificación a lo largo de estos meses del 50% de las cuotas empresariales a la Seguridad Social</w:t>
      </w:r>
      <w:r>
        <w:rPr>
          <w:rFonts w:ascii="Arial" w:hAnsi="Arial" w:cs="Arial"/>
        </w:rPr>
        <w:t xml:space="preserve"> por contingencias comunes, así como por los conceptos de recaudación conjunta de Desempleo, Fondo de Garantía Salarial (</w:t>
      </w:r>
      <w:proofErr w:type="spellStart"/>
      <w:r>
        <w:rPr>
          <w:rFonts w:ascii="Arial" w:hAnsi="Arial" w:cs="Arial"/>
        </w:rPr>
        <w:t>Fogasa</w:t>
      </w:r>
      <w:proofErr w:type="spellEnd"/>
      <w:r>
        <w:rPr>
          <w:rFonts w:ascii="Arial" w:hAnsi="Arial" w:cs="Arial"/>
        </w:rPr>
        <w:t>) y Formación Profesional. Lo dispuesto será de aplicación retroactiva desde el 1 de enero de 2020 hasta el día 31 de diciembre de 2020.</w:t>
      </w:r>
    </w:p>
    <w:p w:rsidR="00311488" w:rsidRDefault="00311488" w:rsidP="00311488">
      <w:pPr>
        <w:pStyle w:val="NormalWeb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bajas médicas de trabajadores enfermos por coronavirus, así como las cuarentenas preventivas como consecuencia de la epidemia de coronavirus, serán computadas como bajas por accidente de trabajo </w:t>
      </w:r>
      <w:r>
        <w:rPr>
          <w:rFonts w:ascii="Arial" w:hAnsi="Arial" w:cs="Arial"/>
        </w:rPr>
        <w:t xml:space="preserve">con lo que los trabajadores </w:t>
      </w:r>
      <w:r>
        <w:rPr>
          <w:rFonts w:ascii="Arial" w:hAnsi="Arial" w:cs="Arial"/>
        </w:rPr>
        <w:t xml:space="preserve">pasarán a cobrar el 75% de la BR </w:t>
      </w:r>
      <w:r>
        <w:rPr>
          <w:rFonts w:ascii="Arial" w:hAnsi="Arial" w:cs="Arial"/>
        </w:rPr>
        <w:t>a partir</w:t>
      </w:r>
      <w:r>
        <w:rPr>
          <w:rFonts w:ascii="Arial" w:hAnsi="Arial" w:cs="Arial"/>
        </w:rPr>
        <w:t xml:space="preserve"> del día siguiente a la emisión del parte de baja y supone la asunción de todo el coste por parte de la Seguridad Social, anteriormente a cargo de la empresa. </w:t>
      </w:r>
    </w:p>
    <w:p w:rsidR="00311488" w:rsidRDefault="00311488" w:rsidP="00311488">
      <w:pPr>
        <w:pStyle w:val="NormalWeb"/>
        <w:shd w:val="clear" w:color="auto" w:fill="FFFFFF"/>
        <w:spacing w:line="360" w:lineRule="atLeast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11488" w:rsidRPr="00311488" w:rsidRDefault="00311488" w:rsidP="00311488">
      <w:pPr>
        <w:pStyle w:val="NormalWeb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Arial" w:hAnsi="Arial" w:cs="Arial"/>
        </w:rPr>
      </w:pPr>
      <w:r w:rsidRPr="00311488">
        <w:rPr>
          <w:rFonts w:ascii="Arial" w:hAnsi="Arial" w:cs="Arial"/>
        </w:rPr>
        <w:t>En el caso de la presentación de Expedientes de Regulación de Empleo</w:t>
      </w:r>
      <w:r w:rsidRPr="00311488">
        <w:rPr>
          <w:rFonts w:ascii="Arial" w:hAnsi="Arial" w:cs="Arial"/>
        </w:rPr>
        <w:t xml:space="preserve"> (ERTE) es causa motivadora de la suspensión, reducción de jornada o extinción de los contratos la existencia de fuerza mayor como es el caso.</w:t>
      </w:r>
    </w:p>
    <w:p w:rsidR="00311488" w:rsidRPr="00311488" w:rsidRDefault="00311488" w:rsidP="00311488">
      <w:pPr>
        <w:rPr>
          <w:rFonts w:ascii="Arial" w:hAnsi="Arial" w:cs="Arial"/>
        </w:rPr>
      </w:pPr>
    </w:p>
    <w:p w:rsidR="00311488" w:rsidRDefault="00311488" w:rsidP="00311488">
      <w:pPr>
        <w:pStyle w:val="NormalWeb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procedimiento se iniciará mediante solicitud de la empresa, acompañada de los medios de prueba que estime necesarios y simultánea comunicación a los representantes legales de los trabajadores, quienes ostentarán la condición de parte interesada en la totalidad de la tramitación del procedimiento. </w:t>
      </w:r>
    </w:p>
    <w:p w:rsidR="00201B54" w:rsidRPr="00311488" w:rsidRDefault="00311488" w:rsidP="00311488">
      <w:pPr>
        <w:pStyle w:val="NormalWeb"/>
        <w:numPr>
          <w:ilvl w:val="0"/>
          <w:numId w:val="2"/>
        </w:numPr>
        <w:shd w:val="clear" w:color="auto" w:fill="FFFFFF"/>
        <w:spacing w:before="450" w:beforeAutospacing="0" w:after="45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resolución de la Autoridad Laboral en la </w:t>
      </w:r>
      <w:proofErr w:type="spellStart"/>
      <w:r>
        <w:rPr>
          <w:rFonts w:ascii="Arial" w:hAnsi="Arial" w:cs="Arial"/>
        </w:rPr>
        <w:t>Comunitat</w:t>
      </w:r>
      <w:proofErr w:type="spellEnd"/>
      <w:r>
        <w:rPr>
          <w:rFonts w:ascii="Arial" w:hAnsi="Arial" w:cs="Arial"/>
        </w:rPr>
        <w:t xml:space="preserve"> Valenciana se dictará, previas las actuaciones e informes indispensables, en el plazo de </w:t>
      </w:r>
      <w:r w:rsidRPr="00311488">
        <w:rPr>
          <w:rFonts w:ascii="Arial" w:hAnsi="Arial" w:cs="Arial"/>
          <w:b/>
        </w:rPr>
        <w:t>cinco días</w:t>
      </w:r>
      <w:r>
        <w:rPr>
          <w:rFonts w:ascii="Arial" w:hAnsi="Arial" w:cs="Arial"/>
        </w:rPr>
        <w:t xml:space="preserve"> desde la solicitud y deberá limitarse, en su caso, a constatar la existencia de la fuerza mayor alegada.</w:t>
      </w:r>
    </w:p>
    <w:sectPr w:rsidR="00201B54" w:rsidRPr="00311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128"/>
    <w:multiLevelType w:val="hybridMultilevel"/>
    <w:tmpl w:val="28CA5B24"/>
    <w:lvl w:ilvl="0" w:tplc="C8724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683E"/>
    <w:multiLevelType w:val="hybridMultilevel"/>
    <w:tmpl w:val="A5902A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7FAF"/>
    <w:multiLevelType w:val="hybridMultilevel"/>
    <w:tmpl w:val="5FC21D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1AC"/>
    <w:multiLevelType w:val="hybridMultilevel"/>
    <w:tmpl w:val="4A6442E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B"/>
    <w:rsid w:val="00015FEB"/>
    <w:rsid w:val="00201B54"/>
    <w:rsid w:val="003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B98B"/>
  <w15:chartTrackingRefBased/>
  <w15:docId w15:val="{69B42BD4-0096-4F2D-BC2C-672B785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1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2459</Characters>
  <Application>Microsoft Office Word</Application>
  <DocSecurity>0</DocSecurity>
  <Lines>20</Lines>
  <Paragraphs>5</Paragraphs>
  <ScaleCrop>false</ScaleCrop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</dc:creator>
  <cp:keywords/>
  <dc:description/>
  <cp:lastModifiedBy>Asun</cp:lastModifiedBy>
  <cp:revision>3</cp:revision>
  <dcterms:created xsi:type="dcterms:W3CDTF">2020-03-16T11:05:00Z</dcterms:created>
  <dcterms:modified xsi:type="dcterms:W3CDTF">2020-03-16T11:12:00Z</dcterms:modified>
</cp:coreProperties>
</file>